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1981200</wp:posOffset>
            </wp:positionH>
            <wp:positionV relativeFrom="paragraph">
              <wp:posOffset>114300</wp:posOffset>
            </wp:positionV>
            <wp:extent cx="1733550" cy="804863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8048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0" w:right="-36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right="-36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right="-36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Minal Mehta, M.D.</w:t>
        <w:tab/>
        <w:tab/>
        <w:t xml:space="preserve">      </w:t>
        <w:tab/>
        <w:t xml:space="preserve">               Phone: (714) 848-2383</w:t>
      </w:r>
    </w:p>
    <w:p w:rsidR="00000000" w:rsidDel="00000000" w:rsidP="00000000" w:rsidRDefault="00000000" w:rsidRPr="00000000" w14:paraId="00000005">
      <w:pPr>
        <w:ind w:left="0" w:right="-36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Hind Al-Azawi M.D.</w:t>
        <w:tab/>
        <w:tab/>
        <w:t xml:space="preserve">                  </w:t>
        <w:tab/>
        <w:tab/>
        <w:t xml:space="preserve">  Fax: (714) 848-4083</w:t>
        <w:tab/>
        <w:tab/>
        <w:tab/>
        <w:t xml:space="preserve">         </w:t>
      </w:r>
    </w:p>
    <w:p w:rsidR="00000000" w:rsidDel="00000000" w:rsidP="00000000" w:rsidRDefault="00000000" w:rsidRPr="00000000" w14:paraId="00000006">
      <w:pPr>
        <w:ind w:left="0" w:right="-360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18111 Brookhurst streetSuite 4450,  Fountain Valley,  CA 92708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==================================================================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IMAGING AND LAB PROCEDURES</w:t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Please be aware that imaging, including mammograms and lab procedures recommended by your doctor, may not be covered by your insurance.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It is important for you to contact your insurance to ask if these services are covered under your policy. Covered benefits may be subject to deductible, co-insurance and copays.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These procedures are coded according to your health needs, These codes may be routine screening or specific diagnostic codes.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Codes cannot be changed, once the orders have been written and the procedure is done.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Print Name: ____________________________________  Date: ______________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Signature: ______________________________________ Date: ______________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